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2A2" w:rsidRPr="00056030" w:rsidRDefault="004352A2" w:rsidP="004352A2">
      <w:pPr>
        <w:jc w:val="both"/>
        <w:rPr>
          <w:rFonts w:ascii="Tahoma" w:hAnsi="Tahoma" w:cs="Tahoma"/>
          <w:b/>
        </w:rPr>
      </w:pPr>
      <w:r w:rsidRPr="00056030">
        <w:rPr>
          <w:rFonts w:ascii="Tahoma" w:hAnsi="Tahoma" w:cs="Tahoma"/>
          <w:b/>
        </w:rPr>
        <w:t>Информация във връзка с промени по мярка 14 „Хуманно отношение към животни“ , като част от второ предложение за изменение на ПРСР 2014-2020 г.</w:t>
      </w:r>
    </w:p>
    <w:p w:rsidR="004352A2" w:rsidRPr="00056030" w:rsidRDefault="004352A2" w:rsidP="004352A2">
      <w:pPr>
        <w:jc w:val="both"/>
        <w:rPr>
          <w:rFonts w:ascii="Tahoma" w:hAnsi="Tahoma" w:cs="Tahoma"/>
          <w:bCs/>
        </w:rPr>
      </w:pPr>
      <w:bookmarkStart w:id="0" w:name="_GoBack"/>
      <w:bookmarkEnd w:id="0"/>
      <w:r w:rsidRPr="00056030">
        <w:rPr>
          <w:rFonts w:ascii="Tahoma" w:hAnsi="Tahoma" w:cs="Tahoma"/>
          <w:bCs/>
        </w:rPr>
        <w:t xml:space="preserve">На заседание на Комитета по наблюдение на ПРСР 2014-2020 г., проведено на 11 март 2016 г. беше взето единодушно решение </w:t>
      </w:r>
      <w:r w:rsidRPr="00056030">
        <w:rPr>
          <w:rFonts w:ascii="Tahoma" w:eastAsia="Times New Roman" w:hAnsi="Tahoma" w:cs="Tahoma"/>
          <w:lang w:eastAsia="bg-BG"/>
        </w:rPr>
        <w:t>за изменение и допълнение на мярка 14 „Хуманно отношение към животните” с цел разширяване на обхвата на подпомагане за едри преживни животни (ЕПЖ).</w:t>
      </w:r>
      <w:r w:rsidRPr="00056030">
        <w:rPr>
          <w:rFonts w:ascii="Tahoma" w:hAnsi="Tahoma" w:cs="Tahoma"/>
          <w:bCs/>
        </w:rPr>
        <w:t xml:space="preserve"> След проведена дискусия и в резултат на единодушното решение на Комитета, УО на ПРСР предлага извършване на следните промени: </w:t>
      </w:r>
    </w:p>
    <w:p w:rsidR="004352A2" w:rsidRPr="00056030" w:rsidRDefault="004352A2" w:rsidP="004352A2">
      <w:pPr>
        <w:jc w:val="both"/>
        <w:rPr>
          <w:rFonts w:ascii="Tahoma" w:hAnsi="Tahoma" w:cs="Tahoma"/>
          <w:b/>
          <w:bCs/>
        </w:rPr>
      </w:pPr>
      <w:r w:rsidRPr="00056030">
        <w:rPr>
          <w:rFonts w:ascii="Tahoma" w:hAnsi="Tahoma" w:cs="Tahoma"/>
          <w:b/>
          <w:bCs/>
        </w:rPr>
        <w:t>1. В рамките на дейност „Осигуряване на свободна подова площ 10 % над минималния стандарт“ в подмярка 14.1 „Плащания за хуманно отношение към животните от сектор ЕПЖ“  се добавя възможност за кандидатстване с крави и биволици на възраст над 24 месеца.</w:t>
      </w:r>
    </w:p>
    <w:p w:rsidR="004352A2" w:rsidRPr="00056030" w:rsidRDefault="004352A2" w:rsidP="004352A2">
      <w:pPr>
        <w:jc w:val="both"/>
        <w:rPr>
          <w:rFonts w:ascii="Tahoma" w:hAnsi="Tahoma" w:cs="Tahoma"/>
          <w:bCs/>
        </w:rPr>
      </w:pPr>
      <w:r w:rsidRPr="00056030">
        <w:rPr>
          <w:rFonts w:ascii="Tahoma" w:hAnsi="Tahoma" w:cs="Tahoma"/>
          <w:bCs/>
        </w:rPr>
        <w:t>Задължителното (базово) изискване, което се надгражда чрез предложеното допълнение в рамките на подмярката е уредено в Наредба № 44 от 20 април 2006 г. за ветеринарномедицинските изисквания към животновъдните обекти на Министерство на земеделието и храните. Начинът по който се надграждат минималните изисквания по отношение на осигуряването на свободна подова площ чрез предложеното допълнение са посочени в таблицата по-долу.</w:t>
      </w:r>
    </w:p>
    <w:p w:rsidR="004352A2" w:rsidRPr="00056030" w:rsidRDefault="004352A2" w:rsidP="004352A2">
      <w:pPr>
        <w:jc w:val="both"/>
        <w:rPr>
          <w:rFonts w:ascii="Tahoma" w:hAnsi="Tahoma" w:cs="Tahoma"/>
          <w:b/>
          <w:bCs/>
        </w:rPr>
      </w:pPr>
      <w:r w:rsidRPr="00056030">
        <w:rPr>
          <w:rFonts w:ascii="Tahoma" w:hAnsi="Tahoma" w:cs="Tahoma"/>
          <w:b/>
          <w:bCs/>
        </w:rPr>
        <w:t>Таблица № 1</w:t>
      </w: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1"/>
        <w:gridCol w:w="4536"/>
      </w:tblGrid>
      <w:tr w:rsidR="004352A2" w:rsidRPr="00056030" w:rsidTr="00890D8F">
        <w:trPr>
          <w:trHeight w:val="37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352A2" w:rsidRPr="00056030" w:rsidRDefault="004352A2" w:rsidP="00890D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5603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Изисквания по мярката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352A2" w:rsidRPr="00056030" w:rsidRDefault="004352A2" w:rsidP="00890D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5603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Базови изисквания</w:t>
            </w:r>
            <w:r w:rsidRPr="0005603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</w:tr>
      <w:tr w:rsidR="004352A2" w:rsidRPr="00056030" w:rsidTr="00890D8F">
        <w:trPr>
          <w:trHeight w:val="315"/>
        </w:trPr>
        <w:tc>
          <w:tcPr>
            <w:tcW w:w="9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52A2" w:rsidRPr="00056030" w:rsidRDefault="004352A2" w:rsidP="00890D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5603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Крави (над 24 месеца)</w:t>
            </w:r>
          </w:p>
        </w:tc>
      </w:tr>
      <w:tr w:rsidR="004352A2" w:rsidRPr="00056030" w:rsidTr="00890D8F">
        <w:trPr>
          <w:trHeight w:val="1532"/>
        </w:trPr>
        <w:tc>
          <w:tcPr>
            <w:tcW w:w="45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2A2" w:rsidRPr="00056030" w:rsidRDefault="004352A2" w:rsidP="00890D8F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Осигуряване на свободна подова площ за крави над 24 месеца най-малко:</w:t>
            </w:r>
          </w:p>
          <w:p w:rsidR="004352A2" w:rsidRPr="00056030" w:rsidRDefault="004352A2" w:rsidP="00890D8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6.6 м</w:t>
            </w: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perscript"/>
                <w:lang w:eastAsia="bg-BG"/>
              </w:rPr>
              <w:t xml:space="preserve">2  </w:t>
            </w: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в помещения и</w:t>
            </w:r>
          </w:p>
          <w:p w:rsidR="004352A2" w:rsidRPr="00056030" w:rsidRDefault="004352A2" w:rsidP="00890D8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6.6 м</w:t>
            </w: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perscript"/>
                <w:lang w:eastAsia="bg-BG"/>
              </w:rPr>
              <w:t xml:space="preserve">2 </w:t>
            </w: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в двор.</w:t>
            </w:r>
          </w:p>
        </w:tc>
        <w:tc>
          <w:tcPr>
            <w:tcW w:w="45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2A2" w:rsidRPr="00056030" w:rsidRDefault="004352A2" w:rsidP="00890D8F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Осигуряване на свободна подова площ за крави над 24 месеца най-малко:</w:t>
            </w:r>
          </w:p>
          <w:p w:rsidR="004352A2" w:rsidRPr="00056030" w:rsidRDefault="004352A2" w:rsidP="00890D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6 м</w:t>
            </w: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perscript"/>
                <w:lang w:eastAsia="bg-BG"/>
              </w:rPr>
              <w:t xml:space="preserve">2  </w:t>
            </w: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 xml:space="preserve">в помещения и </w:t>
            </w:r>
          </w:p>
          <w:p w:rsidR="004352A2" w:rsidRPr="00056030" w:rsidRDefault="004352A2" w:rsidP="00890D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6 м</w:t>
            </w: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perscript"/>
                <w:lang w:eastAsia="bg-BG"/>
              </w:rPr>
              <w:t xml:space="preserve">2 </w:t>
            </w: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в двор.</w:t>
            </w:r>
          </w:p>
        </w:tc>
      </w:tr>
      <w:tr w:rsidR="004352A2" w:rsidRPr="00056030" w:rsidTr="00890D8F">
        <w:trPr>
          <w:trHeight w:val="315"/>
        </w:trPr>
        <w:tc>
          <w:tcPr>
            <w:tcW w:w="9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52A2" w:rsidRPr="00056030" w:rsidRDefault="004352A2" w:rsidP="00890D8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5603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Биволици (над 24 месеца)</w:t>
            </w:r>
          </w:p>
        </w:tc>
      </w:tr>
      <w:tr w:rsidR="004352A2" w:rsidRPr="00056030" w:rsidTr="00890D8F">
        <w:trPr>
          <w:trHeight w:val="147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2A2" w:rsidRPr="00056030" w:rsidRDefault="004352A2" w:rsidP="00890D8F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Осигуряване на свободна подова площ за биволици над 24 месеца най-малко:</w:t>
            </w:r>
          </w:p>
          <w:p w:rsidR="004352A2" w:rsidRPr="00056030" w:rsidRDefault="004352A2" w:rsidP="00890D8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7.7 м</w:t>
            </w: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perscript"/>
                <w:lang w:eastAsia="bg-BG"/>
              </w:rPr>
              <w:t xml:space="preserve">2  </w:t>
            </w: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 xml:space="preserve">в помещения и </w:t>
            </w:r>
          </w:p>
          <w:p w:rsidR="004352A2" w:rsidRPr="00056030" w:rsidRDefault="004352A2" w:rsidP="00890D8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7.7 м</w:t>
            </w: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perscript"/>
                <w:lang w:eastAsia="bg-BG"/>
              </w:rPr>
              <w:t xml:space="preserve">2 </w:t>
            </w: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в двор.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2A2" w:rsidRPr="00056030" w:rsidRDefault="004352A2" w:rsidP="00890D8F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Осигуряване на свободна подова площ за биволици над 24 месеца най-малко:</w:t>
            </w:r>
          </w:p>
          <w:p w:rsidR="004352A2" w:rsidRPr="00056030" w:rsidRDefault="004352A2" w:rsidP="00890D8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7 м</w:t>
            </w: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perscript"/>
                <w:lang w:eastAsia="bg-BG"/>
              </w:rPr>
              <w:t xml:space="preserve">2  </w:t>
            </w: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 xml:space="preserve">в помещения и </w:t>
            </w:r>
          </w:p>
          <w:p w:rsidR="004352A2" w:rsidRPr="00056030" w:rsidRDefault="004352A2" w:rsidP="00890D8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7 м</w:t>
            </w: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vertAlign w:val="superscript"/>
                <w:lang w:eastAsia="bg-BG"/>
              </w:rPr>
              <w:t xml:space="preserve">2 </w:t>
            </w:r>
            <w:r w:rsidRPr="0005603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в двор.</w:t>
            </w:r>
          </w:p>
        </w:tc>
      </w:tr>
    </w:tbl>
    <w:p w:rsidR="004352A2" w:rsidRPr="00056030" w:rsidRDefault="004352A2" w:rsidP="004352A2">
      <w:pPr>
        <w:jc w:val="both"/>
        <w:rPr>
          <w:rFonts w:ascii="Tahoma" w:hAnsi="Tahoma" w:cs="Tahoma"/>
          <w:bCs/>
          <w:i/>
        </w:rPr>
      </w:pPr>
      <w:r w:rsidRPr="00056030">
        <w:rPr>
          <w:rFonts w:ascii="Tahoma" w:hAnsi="Tahoma" w:cs="Tahoma"/>
          <w:bCs/>
          <w:i/>
        </w:rPr>
        <w:t>1. Изискванията са уредени в Наредба № 44/2006 г. за ветеринарномедицинските изисквания към животновъдните обекти</w:t>
      </w:r>
    </w:p>
    <w:p w:rsidR="004352A2" w:rsidRPr="00056030" w:rsidRDefault="004352A2" w:rsidP="004352A2">
      <w:pPr>
        <w:jc w:val="both"/>
        <w:rPr>
          <w:rFonts w:ascii="Tahoma" w:hAnsi="Tahoma" w:cs="Tahoma"/>
          <w:bCs/>
        </w:rPr>
      </w:pPr>
      <w:r w:rsidRPr="00056030">
        <w:rPr>
          <w:rFonts w:ascii="Tahoma" w:hAnsi="Tahoma" w:cs="Tahoma"/>
          <w:bCs/>
        </w:rPr>
        <w:t>Осигуряването на съответсвие с горепосочените условия за отглеждане на животните чрез мярка 14 „Хуманно отношение към животните“ е мотивирано от броя на животновъдните обекти, регистрирани по реда на чл. 137 от Закона ветеринарномедицинските дейности (ЗВД), т.е. животновъдни стопанства, които са постигнали минималните изисквания за хуманно отношение към животните.</w:t>
      </w:r>
    </w:p>
    <w:p w:rsidR="004352A2" w:rsidRPr="00056030" w:rsidRDefault="004352A2" w:rsidP="004352A2">
      <w:pPr>
        <w:jc w:val="both"/>
        <w:rPr>
          <w:rFonts w:ascii="Tahoma" w:hAnsi="Tahoma" w:cs="Tahoma"/>
          <w:bCs/>
        </w:rPr>
      </w:pPr>
      <w:r w:rsidRPr="00056030">
        <w:rPr>
          <w:rFonts w:ascii="Tahoma" w:hAnsi="Tahoma" w:cs="Tahoma"/>
          <w:bCs/>
        </w:rPr>
        <w:lastRenderedPageBreak/>
        <w:t>По данни на Българска агенция по безопастност на храните (БАБХ) към месец май 2016 г. броят на животновъдните обекти в които се отглеждат ЕПЖ на възраст над 24 месеца е общо 3252 бр. с общо 206 800 бр. едри преживни животни.</w:t>
      </w:r>
    </w:p>
    <w:p w:rsidR="004352A2" w:rsidRPr="00056030" w:rsidRDefault="004352A2" w:rsidP="004352A2">
      <w:pPr>
        <w:jc w:val="both"/>
        <w:rPr>
          <w:rFonts w:ascii="Tahoma" w:hAnsi="Tahoma" w:cs="Tahoma"/>
          <w:bCs/>
        </w:rPr>
      </w:pPr>
      <w:r w:rsidRPr="00056030">
        <w:rPr>
          <w:rFonts w:ascii="Tahoma" w:hAnsi="Tahoma" w:cs="Tahoma"/>
          <w:bCs/>
        </w:rPr>
        <w:t>Една част от съответните стопанства са надградили минималните стандарти за отглеждане на животните, осигурявайки по-благоприятни условия в съотвествие с целите на мярка 14 „Хуманно отношение към животните“. Друга част от стопаните съзнават преимуществата от предприемане на съответните действия но са изправени пред финансови проблеми предвид ситуацията в сектор „Мляко“ през последните години и особено в рамките на последната една година.</w:t>
      </w:r>
    </w:p>
    <w:p w:rsidR="004352A2" w:rsidRPr="00056030" w:rsidRDefault="004352A2" w:rsidP="004352A2">
      <w:pPr>
        <w:jc w:val="both"/>
        <w:rPr>
          <w:rFonts w:ascii="Tahoma" w:hAnsi="Tahoma" w:cs="Tahoma"/>
          <w:b/>
        </w:rPr>
      </w:pPr>
      <w:r w:rsidRPr="00056030">
        <w:rPr>
          <w:rFonts w:ascii="Tahoma" w:hAnsi="Tahoma" w:cs="Tahoma"/>
          <w:b/>
        </w:rPr>
        <w:t>Мотиви за подпомагане на осигуряване на свободна подова площ не по-малко от 10 % над минималния стандарт</w:t>
      </w:r>
    </w:p>
    <w:p w:rsidR="004352A2" w:rsidRPr="00056030" w:rsidRDefault="004352A2" w:rsidP="004352A2">
      <w:pPr>
        <w:jc w:val="both"/>
        <w:rPr>
          <w:rFonts w:ascii="Tahoma" w:hAnsi="Tahoma" w:cs="Tahoma"/>
        </w:rPr>
      </w:pPr>
      <w:r w:rsidRPr="00056030">
        <w:rPr>
          <w:rFonts w:ascii="Tahoma" w:hAnsi="Tahoma" w:cs="Tahoma"/>
        </w:rPr>
        <w:t>Преимуществата от предприемане на съответните действия за осигуряване на свободна подова площ не по-малко от 10 % над задължителния стандарт за крави и биволици на възраст над 24 месеца се изразява в следното:</w:t>
      </w:r>
    </w:p>
    <w:p w:rsidR="004352A2" w:rsidRPr="00056030" w:rsidRDefault="004352A2" w:rsidP="004352A2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</w:rPr>
      </w:pPr>
      <w:r w:rsidRPr="00056030">
        <w:rPr>
          <w:rFonts w:ascii="Tahoma" w:hAnsi="Tahoma" w:cs="Tahoma"/>
        </w:rPr>
        <w:t>По голяма площ/пространство за едно животно;</w:t>
      </w:r>
    </w:p>
    <w:p w:rsidR="004352A2" w:rsidRPr="00056030" w:rsidRDefault="004352A2" w:rsidP="004352A2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</w:rPr>
      </w:pPr>
      <w:r w:rsidRPr="00056030">
        <w:rPr>
          <w:rFonts w:ascii="Tahoma" w:hAnsi="Tahoma" w:cs="Tahoma"/>
        </w:rPr>
        <w:t>По голяма двигателна активност;</w:t>
      </w:r>
    </w:p>
    <w:p w:rsidR="004352A2" w:rsidRPr="00056030" w:rsidRDefault="004352A2" w:rsidP="004352A2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</w:rPr>
      </w:pPr>
      <w:r w:rsidRPr="00056030">
        <w:rPr>
          <w:rFonts w:ascii="Tahoma" w:hAnsi="Tahoma" w:cs="Tahoma"/>
        </w:rPr>
        <w:t>Подобряване на здравословното състояние и благополучие на животните.</w:t>
      </w:r>
    </w:p>
    <w:p w:rsidR="004352A2" w:rsidRPr="00056030" w:rsidRDefault="004352A2" w:rsidP="004352A2">
      <w:pPr>
        <w:tabs>
          <w:tab w:val="left" w:pos="1465"/>
        </w:tabs>
        <w:rPr>
          <w:rFonts w:ascii="Tahoma" w:hAnsi="Tahoma" w:cs="Tahoma"/>
          <w:b/>
        </w:rPr>
      </w:pPr>
      <w:r w:rsidRPr="00056030">
        <w:rPr>
          <w:rFonts w:ascii="Tahoma" w:hAnsi="Tahoma" w:cs="Tahoma"/>
          <w:b/>
        </w:rPr>
        <w:t>Допълнително извършени разходи и пропуснати проходи:</w:t>
      </w:r>
    </w:p>
    <w:p w:rsidR="004352A2" w:rsidRPr="00056030" w:rsidRDefault="004352A2" w:rsidP="004352A2">
      <w:pPr>
        <w:tabs>
          <w:tab w:val="left" w:pos="1465"/>
        </w:tabs>
        <w:jc w:val="both"/>
        <w:rPr>
          <w:rFonts w:ascii="Tahoma" w:hAnsi="Tahoma" w:cs="Tahoma"/>
        </w:rPr>
      </w:pPr>
      <w:r w:rsidRPr="00056030">
        <w:rPr>
          <w:rFonts w:ascii="Tahoma" w:hAnsi="Tahoma" w:cs="Tahoma"/>
        </w:rPr>
        <w:t>Компенсаторното плащане, изчислено за крави и биволици над 24 месечна възраст е калкулирано въз основа на пропуснатите ползи и респективно приходи от намалението на на броя на животните и оттам за необходимата компенсация върху останалите животни. Изчисленията са правени на база единица животно от млечно направление при крави, като изчислените пропуснати приходи включват нереализирани приходи от мляко. Извършена е корекция със спестените разходи за единица животно, включващи разходите по изхранването и медицинското обслужване на животните.</w:t>
      </w:r>
    </w:p>
    <w:p w:rsidR="004352A2" w:rsidRPr="00056030" w:rsidRDefault="004352A2" w:rsidP="004352A2">
      <w:pPr>
        <w:tabs>
          <w:tab w:val="left" w:pos="1465"/>
        </w:tabs>
        <w:jc w:val="both"/>
        <w:rPr>
          <w:rFonts w:ascii="Tahoma" w:hAnsi="Tahoma" w:cs="Tahoma"/>
        </w:rPr>
      </w:pPr>
    </w:p>
    <w:p w:rsidR="000122FA" w:rsidRPr="00056030" w:rsidRDefault="000122FA" w:rsidP="00722FAC">
      <w:pPr>
        <w:jc w:val="both"/>
        <w:rPr>
          <w:rFonts w:ascii="Tahoma" w:hAnsi="Tahoma" w:cs="Tahoma"/>
          <w:bCs/>
          <w:color w:val="000000"/>
        </w:rPr>
      </w:pPr>
    </w:p>
    <w:p w:rsidR="000122FA" w:rsidRPr="00056030" w:rsidRDefault="000122FA" w:rsidP="00722FAC">
      <w:pPr>
        <w:jc w:val="both"/>
        <w:rPr>
          <w:rFonts w:ascii="Tahoma" w:hAnsi="Tahoma" w:cs="Tahoma"/>
          <w:bCs/>
          <w:color w:val="000000"/>
        </w:rPr>
        <w:sectPr w:rsidR="000122FA" w:rsidRPr="00056030" w:rsidSect="00B4444C">
          <w:headerReference w:type="default" r:id="rId9"/>
          <w:footerReference w:type="default" r:id="rId10"/>
          <w:pgSz w:w="11906" w:h="16838"/>
          <w:pgMar w:top="1417" w:right="1417" w:bottom="851" w:left="1417" w:header="708" w:footer="708" w:gutter="0"/>
          <w:cols w:space="708"/>
          <w:docGrid w:linePitch="360"/>
        </w:sectPr>
      </w:pPr>
    </w:p>
    <w:p w:rsidR="000122FA" w:rsidRPr="00056030" w:rsidRDefault="000122FA" w:rsidP="00722FAC">
      <w:pPr>
        <w:jc w:val="both"/>
        <w:rPr>
          <w:rFonts w:ascii="Tahoma" w:hAnsi="Tahoma" w:cs="Tahoma"/>
          <w:bCs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3169"/>
        <w:gridCol w:w="4396"/>
        <w:gridCol w:w="4257"/>
        <w:gridCol w:w="1880"/>
      </w:tblGrid>
      <w:tr w:rsidR="000122FA" w:rsidRPr="00056030" w:rsidTr="004352A2">
        <w:tc>
          <w:tcPr>
            <w:tcW w:w="181" w:type="pct"/>
            <w:shd w:val="clear" w:color="auto" w:fill="D9D9D9"/>
          </w:tcPr>
          <w:p w:rsidR="000122FA" w:rsidRPr="00056030" w:rsidRDefault="000122FA" w:rsidP="003E136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56030">
              <w:rPr>
                <w:rFonts w:ascii="Tahoma" w:hAnsi="Tahoma" w:cs="Tahom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14" w:type="pct"/>
            <w:shd w:val="clear" w:color="auto" w:fill="D9D9D9"/>
            <w:vAlign w:val="center"/>
          </w:tcPr>
          <w:p w:rsidR="000122FA" w:rsidRPr="00056030" w:rsidRDefault="000122FA" w:rsidP="004B06D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56030">
              <w:rPr>
                <w:rFonts w:ascii="Tahoma" w:hAnsi="Tahoma" w:cs="Tahoma"/>
                <w:b/>
                <w:bCs/>
                <w:sz w:val="20"/>
                <w:szCs w:val="20"/>
              </w:rPr>
              <w:t>Част от ПРСР в която се прави предложение за промяна</w:t>
            </w:r>
          </w:p>
        </w:tc>
        <w:tc>
          <w:tcPr>
            <w:tcW w:w="1546" w:type="pct"/>
            <w:shd w:val="clear" w:color="auto" w:fill="D9D9D9"/>
            <w:vAlign w:val="center"/>
          </w:tcPr>
          <w:p w:rsidR="000122FA" w:rsidRPr="00056030" w:rsidRDefault="000122FA" w:rsidP="004B06D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56030">
              <w:rPr>
                <w:rFonts w:ascii="Tahoma" w:hAnsi="Tahoma" w:cs="Tahoma"/>
                <w:b/>
                <w:bCs/>
                <w:sz w:val="20"/>
                <w:szCs w:val="20"/>
              </w:rPr>
              <w:t>Настоящ текст в ПРСР</w:t>
            </w:r>
          </w:p>
        </w:tc>
        <w:tc>
          <w:tcPr>
            <w:tcW w:w="1497" w:type="pct"/>
            <w:shd w:val="clear" w:color="auto" w:fill="D9D9D9"/>
            <w:vAlign w:val="center"/>
          </w:tcPr>
          <w:p w:rsidR="000122FA" w:rsidRPr="00056030" w:rsidRDefault="000122FA" w:rsidP="004B06D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56030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Предложение за нов текст в ПРСР</w:t>
            </w:r>
          </w:p>
        </w:tc>
        <w:tc>
          <w:tcPr>
            <w:tcW w:w="661" w:type="pct"/>
            <w:shd w:val="clear" w:color="auto" w:fill="D9D9D9"/>
            <w:vAlign w:val="center"/>
          </w:tcPr>
          <w:p w:rsidR="000122FA" w:rsidRPr="00056030" w:rsidRDefault="000122FA" w:rsidP="004B06D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56030">
              <w:rPr>
                <w:rFonts w:ascii="Tahoma" w:hAnsi="Tahoma" w:cs="Tahoma"/>
                <w:b/>
                <w:bCs/>
                <w:sz w:val="20"/>
                <w:szCs w:val="20"/>
              </w:rPr>
              <w:t>Бележки</w:t>
            </w:r>
          </w:p>
        </w:tc>
      </w:tr>
      <w:tr w:rsidR="000122FA" w:rsidRPr="00056030" w:rsidTr="004352A2">
        <w:trPr>
          <w:trHeight w:val="589"/>
        </w:trPr>
        <w:tc>
          <w:tcPr>
            <w:tcW w:w="18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122FA" w:rsidRPr="00056030" w:rsidRDefault="000122FA" w:rsidP="0074597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056030">
              <w:rPr>
                <w:rFonts w:ascii="Tahoma" w:hAnsi="Tahoma" w:cs="Tahoma"/>
                <w:bCs/>
                <w:sz w:val="20"/>
                <w:szCs w:val="20"/>
              </w:rPr>
              <w:t>1</w:t>
            </w:r>
          </w:p>
        </w:tc>
        <w:tc>
          <w:tcPr>
            <w:tcW w:w="111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122FA" w:rsidRPr="00056030" w:rsidRDefault="00D3789A" w:rsidP="004B06DD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56030">
              <w:rPr>
                <w:rFonts w:ascii="Tahoma" w:hAnsi="Tahoma" w:cs="Tahoma"/>
                <w:sz w:val="20"/>
                <w:szCs w:val="20"/>
              </w:rPr>
              <w:t>Мярка 14 „Хуманно отношение към животните“</w:t>
            </w:r>
          </w:p>
        </w:tc>
        <w:tc>
          <w:tcPr>
            <w:tcW w:w="1546" w:type="pct"/>
            <w:tcBorders>
              <w:bottom w:val="single" w:sz="4" w:space="0" w:color="auto"/>
            </w:tcBorders>
            <w:shd w:val="clear" w:color="auto" w:fill="D9D9D9"/>
          </w:tcPr>
          <w:p w:rsidR="000122FA" w:rsidRPr="00056030" w:rsidRDefault="000122FA" w:rsidP="003E136B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97" w:type="pct"/>
            <w:tcBorders>
              <w:bottom w:val="single" w:sz="4" w:space="0" w:color="auto"/>
            </w:tcBorders>
            <w:shd w:val="clear" w:color="auto" w:fill="D9D9D9"/>
          </w:tcPr>
          <w:p w:rsidR="000122FA" w:rsidRPr="00056030" w:rsidRDefault="000122FA" w:rsidP="003E136B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D9D9D9"/>
          </w:tcPr>
          <w:p w:rsidR="000122FA" w:rsidRPr="00056030" w:rsidRDefault="000122FA" w:rsidP="003E136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122FA" w:rsidRPr="00056030" w:rsidTr="004352A2">
        <w:trPr>
          <w:trHeight w:val="223"/>
        </w:trPr>
        <w:tc>
          <w:tcPr>
            <w:tcW w:w="181" w:type="pct"/>
            <w:shd w:val="clear" w:color="auto" w:fill="auto"/>
            <w:vAlign w:val="center"/>
          </w:tcPr>
          <w:p w:rsidR="000122FA" w:rsidRPr="00056030" w:rsidRDefault="00D3789A" w:rsidP="00D3789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056030">
              <w:rPr>
                <w:rFonts w:ascii="Tahoma" w:hAnsi="Tahoma" w:cs="Tahoma"/>
                <w:bCs/>
                <w:sz w:val="20"/>
                <w:szCs w:val="20"/>
              </w:rPr>
              <w:t>1.2</w:t>
            </w:r>
          </w:p>
        </w:tc>
        <w:tc>
          <w:tcPr>
            <w:tcW w:w="1114" w:type="pct"/>
            <w:shd w:val="clear" w:color="auto" w:fill="auto"/>
            <w:vAlign w:val="center"/>
          </w:tcPr>
          <w:p w:rsidR="000122FA" w:rsidRPr="00056030" w:rsidRDefault="0021565A" w:rsidP="00D3789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056030">
              <w:rPr>
                <w:rFonts w:ascii="Tahoma" w:hAnsi="Tahoma" w:cs="Tahoma"/>
                <w:bCs/>
                <w:sz w:val="20"/>
                <w:szCs w:val="20"/>
              </w:rPr>
              <w:t>1.1.1.3.1.2 Вид на покдрепата</w:t>
            </w:r>
          </w:p>
        </w:tc>
        <w:tc>
          <w:tcPr>
            <w:tcW w:w="1546" w:type="pct"/>
            <w:shd w:val="clear" w:color="auto" w:fill="auto"/>
          </w:tcPr>
          <w:p w:rsidR="00416AED" w:rsidRPr="00056030" w:rsidRDefault="00416AED" w:rsidP="00416AED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05603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14.1.1 Осигуряване на свободна подова площ не по-малко от 10 % над задължителния стандарт (телета)</w:t>
            </w:r>
          </w:p>
          <w:p w:rsidR="00416AED" w:rsidRPr="00056030" w:rsidRDefault="00416AED" w:rsidP="00416AED">
            <w:pPr>
              <w:spacing w:before="240" w:after="240"/>
              <w:rPr>
                <w:rFonts w:ascii="Tahoma" w:hAnsi="Tahoma" w:cs="Tahoma"/>
                <w:sz w:val="20"/>
                <w:szCs w:val="20"/>
              </w:rPr>
            </w:pPr>
            <w:r w:rsidRPr="00056030">
              <w:rPr>
                <w:rFonts w:ascii="Tahoma" w:eastAsia="Times New Roman" w:hAnsi="Tahoma" w:cs="Tahoma"/>
                <w:sz w:val="20"/>
                <w:szCs w:val="20"/>
              </w:rPr>
              <w:t>·      Осигуряване на свободна подова площ за теле с тегло до 150 кг. – най-малко 1,7 м2;</w:t>
            </w:r>
          </w:p>
          <w:p w:rsidR="00416AED" w:rsidRPr="00056030" w:rsidRDefault="00416AED" w:rsidP="00416AED">
            <w:pPr>
              <w:spacing w:before="240" w:after="240"/>
              <w:rPr>
                <w:rFonts w:ascii="Tahoma" w:hAnsi="Tahoma" w:cs="Tahoma"/>
                <w:sz w:val="20"/>
                <w:szCs w:val="20"/>
              </w:rPr>
            </w:pPr>
            <w:r w:rsidRPr="00056030">
              <w:rPr>
                <w:rFonts w:ascii="Tahoma" w:eastAsia="Times New Roman" w:hAnsi="Tahoma" w:cs="Tahoma"/>
                <w:sz w:val="20"/>
                <w:szCs w:val="20"/>
              </w:rPr>
              <w:t>·      Осигуряване на свободна подова площ за теле с тегло от 150 кг. до 220 кг. – най-малко 1,9 м2;</w:t>
            </w:r>
          </w:p>
          <w:p w:rsidR="00416AED" w:rsidRPr="00056030" w:rsidRDefault="00416AED" w:rsidP="00416AED">
            <w:pPr>
              <w:spacing w:before="240" w:after="240"/>
              <w:rPr>
                <w:rFonts w:ascii="Tahoma" w:hAnsi="Tahoma" w:cs="Tahoma"/>
                <w:sz w:val="20"/>
                <w:szCs w:val="20"/>
              </w:rPr>
            </w:pPr>
            <w:r w:rsidRPr="00056030">
              <w:rPr>
                <w:rFonts w:ascii="Tahoma" w:eastAsia="Times New Roman" w:hAnsi="Tahoma" w:cs="Tahoma"/>
                <w:sz w:val="20"/>
                <w:szCs w:val="20"/>
              </w:rPr>
              <w:t>·      Осигуряване на свободна подова площ за теле с тегло над 220 кг. – най-малко 2,0 м2.</w:t>
            </w:r>
          </w:p>
          <w:p w:rsidR="000122FA" w:rsidRPr="00056030" w:rsidRDefault="000122FA" w:rsidP="00416AED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97" w:type="pct"/>
            <w:shd w:val="clear" w:color="auto" w:fill="auto"/>
          </w:tcPr>
          <w:p w:rsidR="00D3789A" w:rsidRPr="00056030" w:rsidRDefault="00D3789A" w:rsidP="00D3789A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05603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14.1.1 Осигуряване на свободна подова площ не по-малко от 10 % над задължителния стандарт </w:t>
            </w:r>
          </w:p>
          <w:p w:rsidR="00D3789A" w:rsidRPr="00056030" w:rsidRDefault="00D3789A" w:rsidP="004B06DD">
            <w:pPr>
              <w:spacing w:before="240" w:after="240"/>
              <w:rPr>
                <w:rFonts w:ascii="Tahoma" w:hAnsi="Tahoma" w:cs="Tahoma"/>
                <w:sz w:val="20"/>
                <w:szCs w:val="20"/>
              </w:rPr>
            </w:pPr>
            <w:r w:rsidRPr="00056030">
              <w:rPr>
                <w:rFonts w:ascii="Tahoma" w:hAnsi="Tahoma" w:cs="Tahoma"/>
                <w:sz w:val="20"/>
                <w:szCs w:val="20"/>
              </w:rPr>
              <w:t>·      Осигуряване на свободна подова площ за теле с тегло до 150 кг. – най-малко 1,7 м2;</w:t>
            </w:r>
          </w:p>
          <w:p w:rsidR="00D3789A" w:rsidRPr="00056030" w:rsidRDefault="00D3789A" w:rsidP="004B06DD">
            <w:pPr>
              <w:spacing w:before="240" w:after="240"/>
              <w:rPr>
                <w:rFonts w:ascii="Tahoma" w:hAnsi="Tahoma" w:cs="Tahoma"/>
                <w:sz w:val="20"/>
                <w:szCs w:val="20"/>
              </w:rPr>
            </w:pPr>
            <w:r w:rsidRPr="00056030">
              <w:rPr>
                <w:rFonts w:ascii="Tahoma" w:hAnsi="Tahoma" w:cs="Tahoma"/>
                <w:sz w:val="20"/>
                <w:szCs w:val="20"/>
              </w:rPr>
              <w:t>·      Осигуряване на свободна подова площ за теле с тегло от 150 кг. до 220 кг. – най-малко 1,9 м2;</w:t>
            </w:r>
          </w:p>
          <w:p w:rsidR="00D3789A" w:rsidRPr="00056030" w:rsidRDefault="00D3789A" w:rsidP="004B06DD">
            <w:pPr>
              <w:spacing w:before="240" w:after="240"/>
              <w:rPr>
                <w:rFonts w:ascii="Tahoma" w:hAnsi="Tahoma" w:cs="Tahoma"/>
                <w:sz w:val="20"/>
                <w:szCs w:val="20"/>
              </w:rPr>
            </w:pPr>
            <w:r w:rsidRPr="00056030">
              <w:rPr>
                <w:rFonts w:ascii="Tahoma" w:hAnsi="Tahoma" w:cs="Tahoma"/>
                <w:sz w:val="20"/>
                <w:szCs w:val="20"/>
              </w:rPr>
              <w:t>·      Осигуряване на свободна подова площ за теле с тегло над 220 кг. – най-малко 2,0 м2;</w:t>
            </w:r>
          </w:p>
          <w:p w:rsidR="0021565A" w:rsidRPr="00056030" w:rsidRDefault="0021565A" w:rsidP="004B06DD">
            <w:pPr>
              <w:spacing w:before="240" w:after="24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56030">
              <w:rPr>
                <w:rFonts w:ascii="Tahoma" w:hAnsi="Tahoma" w:cs="Tahoma"/>
                <w:color w:val="FF0000"/>
                <w:sz w:val="20"/>
                <w:szCs w:val="20"/>
              </w:rPr>
              <w:t xml:space="preserve">·      Осигуряване на свободна подова площ за 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  <w:u w:val="single"/>
              </w:rPr>
              <w:t>крави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над 24 месеца - най-малко 6.6 м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  <w:vertAlign w:val="superscript"/>
              </w:rPr>
              <w:t>2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в помещение и най-малко 6.6 м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  <w:vertAlign w:val="superscript"/>
              </w:rPr>
              <w:t xml:space="preserve">2 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</w:rPr>
              <w:t>в двор;</w:t>
            </w:r>
          </w:p>
          <w:p w:rsidR="000122FA" w:rsidRPr="00056030" w:rsidRDefault="0021565A" w:rsidP="004352A2">
            <w:pPr>
              <w:spacing w:before="240" w:after="24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56030">
              <w:rPr>
                <w:rFonts w:ascii="Tahoma" w:hAnsi="Tahoma" w:cs="Tahoma"/>
                <w:color w:val="FF0000"/>
                <w:sz w:val="20"/>
                <w:szCs w:val="20"/>
              </w:rPr>
              <w:t xml:space="preserve">·      Осигуряване на свободна подова площ за 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  <w:u w:val="single"/>
              </w:rPr>
              <w:t>биволи</w:t>
            </w:r>
            <w:r w:rsidR="004352A2" w:rsidRPr="00056030">
              <w:rPr>
                <w:rFonts w:ascii="Tahoma" w:hAnsi="Tahoma" w:cs="Tahoma"/>
                <w:color w:val="FF0000"/>
                <w:sz w:val="20"/>
                <w:szCs w:val="20"/>
                <w:u w:val="single"/>
              </w:rPr>
              <w:t>ци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над 24 месеца - най-малко 7.7 м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  <w:vertAlign w:val="superscript"/>
              </w:rPr>
              <w:t>2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в помещение и най-малко 7.7 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</w:rPr>
              <w:lastRenderedPageBreak/>
              <w:t>м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  <w:vertAlign w:val="superscript"/>
              </w:rPr>
              <w:t xml:space="preserve">2 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</w:rPr>
              <w:t>в двор.</w:t>
            </w:r>
          </w:p>
        </w:tc>
        <w:tc>
          <w:tcPr>
            <w:tcW w:w="661" w:type="pct"/>
            <w:shd w:val="clear" w:color="auto" w:fill="auto"/>
          </w:tcPr>
          <w:p w:rsidR="000122FA" w:rsidRPr="00056030" w:rsidRDefault="000122FA" w:rsidP="003E136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122FA" w:rsidRPr="00056030" w:rsidTr="004352A2">
        <w:trPr>
          <w:trHeight w:val="223"/>
        </w:trPr>
        <w:tc>
          <w:tcPr>
            <w:tcW w:w="181" w:type="pct"/>
            <w:shd w:val="clear" w:color="auto" w:fill="auto"/>
            <w:vAlign w:val="center"/>
          </w:tcPr>
          <w:p w:rsidR="000122FA" w:rsidRPr="00056030" w:rsidRDefault="00D3789A" w:rsidP="00D3789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056030">
              <w:rPr>
                <w:rFonts w:ascii="Tahoma" w:hAnsi="Tahoma" w:cs="Tahoma"/>
                <w:bCs/>
                <w:sz w:val="20"/>
                <w:szCs w:val="20"/>
              </w:rPr>
              <w:lastRenderedPageBreak/>
              <w:t>1.3</w:t>
            </w:r>
          </w:p>
        </w:tc>
        <w:tc>
          <w:tcPr>
            <w:tcW w:w="1114" w:type="pct"/>
            <w:shd w:val="clear" w:color="auto" w:fill="auto"/>
            <w:vAlign w:val="center"/>
          </w:tcPr>
          <w:p w:rsidR="00D3789A" w:rsidRPr="00056030" w:rsidRDefault="00D3789A" w:rsidP="00D3789A">
            <w:pPr>
              <w:pStyle w:val="Heading6"/>
              <w:numPr>
                <w:ilvl w:val="0"/>
                <w:numId w:val="0"/>
              </w:numPr>
              <w:jc w:val="center"/>
              <w:rPr>
                <w:rFonts w:ascii="Tahoma" w:hAnsi="Tahoma" w:cs="Tahoma"/>
                <w:sz w:val="20"/>
                <w:lang w:val="bg-BG"/>
              </w:rPr>
            </w:pPr>
            <w:r w:rsidRPr="00056030">
              <w:rPr>
                <w:rFonts w:ascii="Tahoma" w:hAnsi="Tahoma" w:cs="Tahoma"/>
                <w:bCs/>
                <w:sz w:val="20"/>
              </w:rPr>
              <w:t>1.1.1.3.1.8</w:t>
            </w:r>
            <w:r w:rsidRPr="00056030">
              <w:rPr>
                <w:rFonts w:ascii="Tahoma" w:hAnsi="Tahoma" w:cs="Tahoma"/>
                <w:b/>
                <w:bCs/>
                <w:sz w:val="20"/>
              </w:rPr>
              <w:t xml:space="preserve"> </w:t>
            </w:r>
            <w:r w:rsidRPr="00056030">
              <w:rPr>
                <w:rFonts w:ascii="Tahoma" w:hAnsi="Tahoma" w:cs="Tahoma"/>
                <w:sz w:val="20"/>
                <w:lang w:val="bg-BG"/>
              </w:rPr>
              <w:t>(Приложими) суми и проценти на предоставяната подкрепа</w:t>
            </w:r>
          </w:p>
          <w:p w:rsidR="000122FA" w:rsidRPr="00056030" w:rsidRDefault="000122FA" w:rsidP="00D378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546" w:type="pct"/>
            <w:shd w:val="clear" w:color="auto" w:fill="auto"/>
            <w:vAlign w:val="center"/>
          </w:tcPr>
          <w:p w:rsidR="00416AED" w:rsidRPr="00056030" w:rsidRDefault="00416AED" w:rsidP="00416AED">
            <w:pPr>
              <w:spacing w:after="240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0122FA" w:rsidRPr="00056030" w:rsidRDefault="00416AED" w:rsidP="004352A2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056030">
              <w:rPr>
                <w:rFonts w:ascii="Tahoma" w:eastAsia="Times New Roman" w:hAnsi="Tahoma" w:cs="Tahoma"/>
                <w:sz w:val="20"/>
                <w:szCs w:val="20"/>
              </w:rPr>
              <w:t xml:space="preserve">14.1.1 Осигуряване на свободна подова площ не по-малко от 10 % над задължителния </w:t>
            </w:r>
            <w:r w:rsidR="004352A2" w:rsidRPr="00056030">
              <w:rPr>
                <w:rFonts w:ascii="Tahoma" w:eastAsia="Times New Roman" w:hAnsi="Tahoma" w:cs="Tahoma"/>
                <w:sz w:val="20"/>
                <w:szCs w:val="20"/>
              </w:rPr>
              <w:t>стандарт в евро/ЖЕ - 27,46 евро.</w:t>
            </w:r>
          </w:p>
        </w:tc>
        <w:tc>
          <w:tcPr>
            <w:tcW w:w="1497" w:type="pct"/>
            <w:shd w:val="clear" w:color="auto" w:fill="auto"/>
            <w:vAlign w:val="center"/>
          </w:tcPr>
          <w:p w:rsidR="00D3789A" w:rsidRPr="00056030" w:rsidRDefault="00D3789A" w:rsidP="00D3789A">
            <w:pPr>
              <w:spacing w:after="2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056030">
              <w:rPr>
                <w:rFonts w:ascii="Tahoma" w:eastAsia="Times New Roman" w:hAnsi="Tahoma" w:cs="Tahoma"/>
                <w:sz w:val="20"/>
                <w:szCs w:val="20"/>
              </w:rPr>
              <w:t>14.1.1 Осигуряване на свободна подова площ не по-малко от 10 % над задължителния стандарт:</w:t>
            </w:r>
          </w:p>
          <w:p w:rsidR="00D3789A" w:rsidRPr="00056030" w:rsidRDefault="00D3789A" w:rsidP="00D3789A">
            <w:pPr>
              <w:pStyle w:val="ListParagraph"/>
              <w:numPr>
                <w:ilvl w:val="0"/>
                <w:numId w:val="9"/>
              </w:numPr>
              <w:spacing w:before="120" w:after="2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056030">
              <w:rPr>
                <w:rFonts w:ascii="Tahoma" w:eastAsia="Times New Roman" w:hAnsi="Tahoma" w:cs="Tahoma"/>
                <w:sz w:val="20"/>
                <w:szCs w:val="20"/>
              </w:rPr>
              <w:t>За телета в евро/ЖЕ - 27,46 евро;</w:t>
            </w:r>
          </w:p>
          <w:p w:rsidR="000122FA" w:rsidRPr="00056030" w:rsidRDefault="00D3789A" w:rsidP="004352A2">
            <w:pPr>
              <w:pStyle w:val="ListParagraph"/>
              <w:numPr>
                <w:ilvl w:val="0"/>
                <w:numId w:val="9"/>
              </w:numPr>
              <w:spacing w:before="120" w:after="24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</w:rPr>
            </w:pPr>
            <w:r w:rsidRPr="00056030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За</w:t>
            </w:r>
            <w:r w:rsidR="004352A2" w:rsidRPr="00056030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 xml:space="preserve"> </w:t>
            </w:r>
            <w:r w:rsidR="004352A2" w:rsidRPr="00056030">
              <w:rPr>
                <w:rFonts w:ascii="Tahoma" w:eastAsia="Times New Roman" w:hAnsi="Tahoma" w:cs="Tahoma"/>
                <w:color w:val="FF0000"/>
                <w:sz w:val="20"/>
                <w:szCs w:val="20"/>
                <w:u w:val="single"/>
              </w:rPr>
              <w:t>крави</w:t>
            </w:r>
            <w:r w:rsidRPr="00056030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 xml:space="preserve"> и </w:t>
            </w:r>
            <w:r w:rsidRPr="00056030">
              <w:rPr>
                <w:rFonts w:ascii="Tahoma" w:eastAsia="Times New Roman" w:hAnsi="Tahoma" w:cs="Tahoma"/>
                <w:color w:val="FF0000"/>
                <w:sz w:val="20"/>
                <w:szCs w:val="20"/>
                <w:u w:val="single"/>
              </w:rPr>
              <w:t>биволи</w:t>
            </w:r>
            <w:r w:rsidR="004352A2" w:rsidRPr="00056030">
              <w:rPr>
                <w:rFonts w:ascii="Tahoma" w:eastAsia="Times New Roman" w:hAnsi="Tahoma" w:cs="Tahoma"/>
                <w:color w:val="FF0000"/>
                <w:sz w:val="20"/>
                <w:szCs w:val="20"/>
                <w:u w:val="single"/>
              </w:rPr>
              <w:t>ци</w:t>
            </w:r>
            <w:r w:rsidRPr="00056030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 xml:space="preserve"> над 24 месечна възраст/ЖЕ - </w:t>
            </w:r>
            <w:r w:rsidR="00232F4B" w:rsidRPr="00056030">
              <w:rPr>
                <w:rFonts w:ascii="Tahoma" w:eastAsia="Times New Roman" w:hAnsi="Tahoma" w:cs="Tahoma"/>
                <w:color w:val="FF0000"/>
                <w:sz w:val="20"/>
                <w:szCs w:val="20"/>
                <w:lang w:val="en-US"/>
              </w:rPr>
              <w:t>42</w:t>
            </w:r>
            <w:r w:rsidRPr="00056030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>.</w:t>
            </w:r>
            <w:r w:rsidR="00232F4B" w:rsidRPr="00056030">
              <w:rPr>
                <w:rFonts w:ascii="Tahoma" w:eastAsia="Times New Roman" w:hAnsi="Tahoma" w:cs="Tahoma"/>
                <w:color w:val="FF0000"/>
                <w:sz w:val="20"/>
                <w:szCs w:val="20"/>
                <w:lang w:val="en-US"/>
              </w:rPr>
              <w:t>71</w:t>
            </w:r>
            <w:r w:rsidRPr="00056030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t xml:space="preserve"> евро.</w:t>
            </w:r>
          </w:p>
        </w:tc>
        <w:tc>
          <w:tcPr>
            <w:tcW w:w="661" w:type="pct"/>
            <w:shd w:val="clear" w:color="auto" w:fill="auto"/>
          </w:tcPr>
          <w:p w:rsidR="000122FA" w:rsidRPr="00056030" w:rsidRDefault="000122FA" w:rsidP="003E136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D3789A" w:rsidRPr="00056030" w:rsidTr="004352A2">
        <w:trPr>
          <w:trHeight w:val="223"/>
        </w:trPr>
        <w:tc>
          <w:tcPr>
            <w:tcW w:w="181" w:type="pct"/>
            <w:shd w:val="clear" w:color="auto" w:fill="auto"/>
            <w:vAlign w:val="center"/>
          </w:tcPr>
          <w:p w:rsidR="00D3789A" w:rsidRPr="00056030" w:rsidRDefault="00D3789A" w:rsidP="00D3789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056030">
              <w:rPr>
                <w:rFonts w:ascii="Tahoma" w:hAnsi="Tahoma" w:cs="Tahoma"/>
                <w:bCs/>
                <w:sz w:val="20"/>
                <w:szCs w:val="20"/>
              </w:rPr>
              <w:t>1.4</w:t>
            </w:r>
          </w:p>
        </w:tc>
        <w:tc>
          <w:tcPr>
            <w:tcW w:w="1114" w:type="pct"/>
            <w:shd w:val="clear" w:color="auto" w:fill="auto"/>
            <w:vAlign w:val="center"/>
          </w:tcPr>
          <w:p w:rsidR="00D3789A" w:rsidRPr="00056030" w:rsidRDefault="00D3789A" w:rsidP="00D3789A">
            <w:pPr>
              <w:pStyle w:val="Heading6"/>
              <w:numPr>
                <w:ilvl w:val="0"/>
                <w:numId w:val="0"/>
              </w:numPr>
              <w:jc w:val="center"/>
              <w:rPr>
                <w:rFonts w:ascii="Tahoma" w:hAnsi="Tahoma" w:cs="Tahoma"/>
                <w:bCs/>
                <w:sz w:val="20"/>
                <w:lang w:val="bg-BG"/>
              </w:rPr>
            </w:pPr>
            <w:r w:rsidRPr="00056030">
              <w:rPr>
                <w:rFonts w:ascii="Tahoma" w:hAnsi="Tahoma" w:cs="Tahoma"/>
                <w:bCs/>
                <w:sz w:val="20"/>
                <w:lang w:val="bg-BG"/>
              </w:rPr>
              <w:t>1.1.1.3.1.10 Специфична информация за операцията</w:t>
            </w:r>
          </w:p>
          <w:p w:rsidR="00D3789A" w:rsidRPr="00056030" w:rsidRDefault="00D3789A" w:rsidP="00D3789A">
            <w:pPr>
              <w:rPr>
                <w:rFonts w:ascii="Tahoma" w:hAnsi="Tahoma" w:cs="Tahoma"/>
                <w:sz w:val="20"/>
                <w:szCs w:val="20"/>
              </w:rPr>
            </w:pPr>
            <w:r w:rsidRPr="00056030">
              <w:rPr>
                <w:rFonts w:ascii="Tahoma" w:hAnsi="Tahoma" w:cs="Tahoma"/>
                <w:sz w:val="20"/>
                <w:szCs w:val="20"/>
              </w:rPr>
              <w:t>Определяне и посочване на националните и съюзните изисквания, съответстващи на задължителните стандарти, установени съгласно дял VI, глава I от Регламент (ЕС) № 1306/2013</w:t>
            </w:r>
          </w:p>
          <w:p w:rsidR="00D3789A" w:rsidRPr="00056030" w:rsidRDefault="00D3789A" w:rsidP="00D3789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6" w:type="pct"/>
            <w:shd w:val="clear" w:color="auto" w:fill="auto"/>
            <w:vAlign w:val="center"/>
          </w:tcPr>
          <w:p w:rsidR="00416AED" w:rsidRPr="00056030" w:rsidRDefault="00416AED" w:rsidP="00416AED">
            <w:pPr>
              <w:spacing w:before="240" w:after="240"/>
              <w:rPr>
                <w:rFonts w:ascii="Tahoma" w:hAnsi="Tahoma" w:cs="Tahoma"/>
                <w:sz w:val="20"/>
                <w:szCs w:val="20"/>
              </w:rPr>
            </w:pPr>
            <w:r w:rsidRPr="0005603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Минимални стандарти/базови изисквания, база за подпомаганите дейности по подмярката:</w:t>
            </w:r>
          </w:p>
          <w:p w:rsidR="00416AED" w:rsidRPr="00056030" w:rsidRDefault="00416AED" w:rsidP="00416AED">
            <w:pPr>
              <w:spacing w:before="240" w:after="240"/>
              <w:rPr>
                <w:rFonts w:ascii="Tahoma" w:hAnsi="Tahoma" w:cs="Tahoma"/>
                <w:sz w:val="20"/>
                <w:szCs w:val="20"/>
              </w:rPr>
            </w:pPr>
            <w:r w:rsidRPr="0005603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14.1.1 Осигуряване на свободна подова площ:</w:t>
            </w:r>
          </w:p>
          <w:p w:rsidR="00416AED" w:rsidRPr="00056030" w:rsidRDefault="00416AED" w:rsidP="00416AED">
            <w:pPr>
              <w:spacing w:before="240" w:after="240"/>
              <w:rPr>
                <w:rFonts w:ascii="Tahoma" w:hAnsi="Tahoma" w:cs="Tahoma"/>
                <w:sz w:val="20"/>
                <w:szCs w:val="20"/>
              </w:rPr>
            </w:pPr>
            <w:r w:rsidRPr="00056030">
              <w:rPr>
                <w:rFonts w:ascii="Tahoma" w:eastAsia="Times New Roman" w:hAnsi="Tahoma" w:cs="Tahoma"/>
                <w:sz w:val="20"/>
                <w:szCs w:val="20"/>
              </w:rPr>
              <w:t>·      Осигуряване на свободна подова площ за теле с тегло до 150 кг. – най-малко 1,5 м2;</w:t>
            </w:r>
          </w:p>
          <w:p w:rsidR="00416AED" w:rsidRPr="00056030" w:rsidRDefault="00416AED" w:rsidP="00416AED">
            <w:pPr>
              <w:spacing w:before="240" w:after="240"/>
              <w:rPr>
                <w:rFonts w:ascii="Tahoma" w:hAnsi="Tahoma" w:cs="Tahoma"/>
                <w:sz w:val="20"/>
                <w:szCs w:val="20"/>
              </w:rPr>
            </w:pPr>
            <w:r w:rsidRPr="00056030">
              <w:rPr>
                <w:rFonts w:ascii="Tahoma" w:eastAsia="Times New Roman" w:hAnsi="Tahoma" w:cs="Tahoma"/>
                <w:sz w:val="20"/>
                <w:szCs w:val="20"/>
              </w:rPr>
              <w:t>·      Осигуряване на свободна подова площ за теле с тегло от 150 кг. до 220 кг. – най-малко 1,7 м2;</w:t>
            </w:r>
          </w:p>
          <w:p w:rsidR="00416AED" w:rsidRPr="00056030" w:rsidRDefault="00416AED" w:rsidP="00416AED">
            <w:pPr>
              <w:spacing w:before="240" w:after="240"/>
              <w:rPr>
                <w:rFonts w:ascii="Tahoma" w:hAnsi="Tahoma" w:cs="Tahoma"/>
                <w:sz w:val="20"/>
                <w:szCs w:val="20"/>
              </w:rPr>
            </w:pPr>
            <w:r w:rsidRPr="00056030">
              <w:rPr>
                <w:rFonts w:ascii="Tahoma" w:eastAsia="Times New Roman" w:hAnsi="Tahoma" w:cs="Tahoma"/>
                <w:sz w:val="20"/>
                <w:szCs w:val="20"/>
              </w:rPr>
              <w:t>·      Осигуряване на свободна подова площ за теле с тегло над 220 кг. – най-малко 1,8 м2.</w:t>
            </w:r>
          </w:p>
          <w:p w:rsidR="00D3789A" w:rsidRPr="00056030" w:rsidRDefault="00D3789A" w:rsidP="004352A2">
            <w:pPr>
              <w:spacing w:before="240" w:after="24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97" w:type="pct"/>
            <w:shd w:val="clear" w:color="auto" w:fill="auto"/>
          </w:tcPr>
          <w:p w:rsidR="00D3789A" w:rsidRPr="00056030" w:rsidRDefault="00D3789A" w:rsidP="00D3789A">
            <w:pPr>
              <w:spacing w:before="240" w:after="240"/>
              <w:rPr>
                <w:rFonts w:ascii="Tahoma" w:hAnsi="Tahoma" w:cs="Tahoma"/>
                <w:sz w:val="20"/>
                <w:szCs w:val="20"/>
              </w:rPr>
            </w:pPr>
            <w:r w:rsidRPr="00056030">
              <w:rPr>
                <w:rFonts w:ascii="Tahoma" w:hAnsi="Tahoma" w:cs="Tahoma"/>
                <w:b/>
                <w:bCs/>
                <w:sz w:val="20"/>
                <w:szCs w:val="20"/>
              </w:rPr>
              <w:t>Минимални стандарти/базови изисквания, база за подпомаганите дейности по подмярката:</w:t>
            </w:r>
          </w:p>
          <w:p w:rsidR="00D3789A" w:rsidRPr="00056030" w:rsidRDefault="00D3789A" w:rsidP="00D3789A">
            <w:pPr>
              <w:spacing w:before="240" w:after="240"/>
              <w:rPr>
                <w:rFonts w:ascii="Tahoma" w:hAnsi="Tahoma" w:cs="Tahoma"/>
                <w:sz w:val="20"/>
                <w:szCs w:val="20"/>
              </w:rPr>
            </w:pPr>
            <w:r w:rsidRPr="00056030">
              <w:rPr>
                <w:rFonts w:ascii="Tahoma" w:hAnsi="Tahoma" w:cs="Tahoma"/>
                <w:b/>
                <w:bCs/>
                <w:sz w:val="20"/>
                <w:szCs w:val="20"/>
              </w:rPr>
              <w:t>14.1.1 Осигуряване на свободна подова площ:</w:t>
            </w:r>
          </w:p>
          <w:p w:rsidR="00D3789A" w:rsidRPr="00056030" w:rsidRDefault="00D3789A" w:rsidP="00D3789A">
            <w:pPr>
              <w:spacing w:before="240" w:after="240"/>
              <w:rPr>
                <w:rFonts w:ascii="Tahoma" w:hAnsi="Tahoma" w:cs="Tahoma"/>
                <w:sz w:val="20"/>
                <w:szCs w:val="20"/>
              </w:rPr>
            </w:pPr>
            <w:r w:rsidRPr="00056030">
              <w:rPr>
                <w:rFonts w:ascii="Tahoma" w:hAnsi="Tahoma" w:cs="Tahoma"/>
                <w:sz w:val="20"/>
                <w:szCs w:val="20"/>
              </w:rPr>
              <w:t>·      Осигуряване на свободна подова площ за теле с тегло до 150 кг. – най-малко 1,5 м2;</w:t>
            </w:r>
          </w:p>
          <w:p w:rsidR="00D3789A" w:rsidRPr="00056030" w:rsidRDefault="00D3789A" w:rsidP="00D3789A">
            <w:pPr>
              <w:spacing w:before="240" w:after="240"/>
              <w:rPr>
                <w:rFonts w:ascii="Tahoma" w:hAnsi="Tahoma" w:cs="Tahoma"/>
                <w:sz w:val="20"/>
                <w:szCs w:val="20"/>
              </w:rPr>
            </w:pPr>
            <w:r w:rsidRPr="00056030">
              <w:rPr>
                <w:rFonts w:ascii="Tahoma" w:hAnsi="Tahoma" w:cs="Tahoma"/>
                <w:sz w:val="20"/>
                <w:szCs w:val="20"/>
              </w:rPr>
              <w:t>·      Осигуряване на свободна подова площ за теле с тегло от 150 кг. до 220 кг. – най-малко 1,7 м2;</w:t>
            </w:r>
          </w:p>
          <w:p w:rsidR="00D3789A" w:rsidRPr="00056030" w:rsidRDefault="00D3789A" w:rsidP="00D3789A">
            <w:pPr>
              <w:spacing w:before="240" w:after="240"/>
              <w:rPr>
                <w:rFonts w:ascii="Tahoma" w:hAnsi="Tahoma" w:cs="Tahoma"/>
                <w:sz w:val="20"/>
                <w:szCs w:val="20"/>
              </w:rPr>
            </w:pPr>
            <w:r w:rsidRPr="00056030">
              <w:rPr>
                <w:rFonts w:ascii="Tahoma" w:hAnsi="Tahoma" w:cs="Tahoma"/>
                <w:sz w:val="20"/>
                <w:szCs w:val="20"/>
              </w:rPr>
              <w:t>·      Осигуряване на свободна подова площ за теле с тегло над 220 кг. – най-малко 1,8 м2;</w:t>
            </w:r>
          </w:p>
          <w:p w:rsidR="00D3789A" w:rsidRPr="00056030" w:rsidRDefault="00D3789A" w:rsidP="00D3789A">
            <w:pPr>
              <w:spacing w:before="240" w:after="24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56030">
              <w:rPr>
                <w:rFonts w:ascii="Tahoma" w:hAnsi="Tahoma" w:cs="Tahoma"/>
                <w:color w:val="FF0000"/>
                <w:sz w:val="20"/>
                <w:szCs w:val="20"/>
              </w:rPr>
              <w:t xml:space="preserve">·      Осигуряване на свободна подова площ за 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  <w:u w:val="single"/>
              </w:rPr>
              <w:t>крави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над 24 месеца - най-малко 6 м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  <w:vertAlign w:val="superscript"/>
              </w:rPr>
              <w:t>2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в помещение и най-малко 6 м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  <w:vertAlign w:val="superscript"/>
              </w:rPr>
              <w:t xml:space="preserve">2 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</w:rPr>
              <w:t>в двор;</w:t>
            </w:r>
          </w:p>
          <w:p w:rsidR="00D3789A" w:rsidRPr="00056030" w:rsidRDefault="00D3789A" w:rsidP="004352A2">
            <w:pPr>
              <w:spacing w:before="240" w:after="24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56030">
              <w:rPr>
                <w:rFonts w:ascii="Tahoma" w:hAnsi="Tahoma" w:cs="Tahoma"/>
                <w:color w:val="FF0000"/>
                <w:sz w:val="20"/>
                <w:szCs w:val="20"/>
              </w:rPr>
              <w:lastRenderedPageBreak/>
              <w:t xml:space="preserve">·      Осигуряване на свободна подова площ за 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  <w:u w:val="single"/>
              </w:rPr>
              <w:t>биволи</w:t>
            </w:r>
            <w:r w:rsidR="004352A2" w:rsidRPr="00056030">
              <w:rPr>
                <w:rFonts w:ascii="Tahoma" w:hAnsi="Tahoma" w:cs="Tahoma"/>
                <w:color w:val="FF0000"/>
                <w:sz w:val="20"/>
                <w:szCs w:val="20"/>
                <w:u w:val="single"/>
              </w:rPr>
              <w:t>ци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над 24 месеца - най-малко 7 м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  <w:vertAlign w:val="superscript"/>
              </w:rPr>
              <w:t>2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в помещение и най-малко 7 м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  <w:vertAlign w:val="superscript"/>
              </w:rPr>
              <w:t xml:space="preserve">2 </w:t>
            </w:r>
            <w:r w:rsidRPr="00056030">
              <w:rPr>
                <w:rFonts w:ascii="Tahoma" w:hAnsi="Tahoma" w:cs="Tahoma"/>
                <w:color w:val="FF0000"/>
                <w:sz w:val="20"/>
                <w:szCs w:val="20"/>
              </w:rPr>
              <w:t>в двор.</w:t>
            </w:r>
          </w:p>
        </w:tc>
        <w:tc>
          <w:tcPr>
            <w:tcW w:w="661" w:type="pct"/>
            <w:shd w:val="clear" w:color="auto" w:fill="auto"/>
          </w:tcPr>
          <w:p w:rsidR="00D3789A" w:rsidRPr="00056030" w:rsidRDefault="00D3789A" w:rsidP="003E136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0122FA" w:rsidRPr="00056030" w:rsidRDefault="000122FA" w:rsidP="00722FAC">
      <w:pPr>
        <w:jc w:val="both"/>
        <w:rPr>
          <w:rFonts w:ascii="Tahoma" w:hAnsi="Tahoma" w:cs="Tahoma"/>
          <w:bCs/>
        </w:rPr>
      </w:pPr>
    </w:p>
    <w:sectPr w:rsidR="000122FA" w:rsidRPr="00056030" w:rsidSect="000122F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712" w:rsidRDefault="00224712" w:rsidP="0039528E">
      <w:pPr>
        <w:spacing w:after="0" w:line="240" w:lineRule="auto"/>
      </w:pPr>
      <w:r>
        <w:separator/>
      </w:r>
    </w:p>
  </w:endnote>
  <w:endnote w:type="continuationSeparator" w:id="0">
    <w:p w:rsidR="00224712" w:rsidRDefault="00224712" w:rsidP="00395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011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9528E" w:rsidRDefault="003952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603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9528E" w:rsidRDefault="003952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712" w:rsidRDefault="00224712" w:rsidP="0039528E">
      <w:pPr>
        <w:spacing w:after="0" w:line="240" w:lineRule="auto"/>
      </w:pPr>
      <w:r>
        <w:separator/>
      </w:r>
    </w:p>
  </w:footnote>
  <w:footnote w:type="continuationSeparator" w:id="0">
    <w:p w:rsidR="00224712" w:rsidRDefault="00224712" w:rsidP="00395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28E" w:rsidRPr="00056030" w:rsidRDefault="0039528E">
    <w:pPr>
      <w:pStyle w:val="Header"/>
      <w:rPr>
        <w:rFonts w:ascii="Tahoma" w:hAnsi="Tahoma" w:cs="Tahoma"/>
        <w:sz w:val="20"/>
        <w:szCs w:val="20"/>
      </w:rPr>
    </w:pPr>
    <w:r w:rsidRPr="00056030">
      <w:rPr>
        <w:rFonts w:ascii="Tahoma" w:hAnsi="Tahoma" w:cs="Tahoma"/>
        <w:sz w:val="20"/>
        <w:szCs w:val="20"/>
      </w:rPr>
      <w:t>Приложение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F12C3"/>
    <w:multiLevelType w:val="hybridMultilevel"/>
    <w:tmpl w:val="D60AE8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72335E"/>
    <w:multiLevelType w:val="hybridMultilevel"/>
    <w:tmpl w:val="9F6ECE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222B24"/>
    <w:multiLevelType w:val="hybridMultilevel"/>
    <w:tmpl w:val="6FFC7D8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1BD6102"/>
    <w:multiLevelType w:val="hybridMultilevel"/>
    <w:tmpl w:val="929E487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64C3702"/>
    <w:multiLevelType w:val="hybridMultilevel"/>
    <w:tmpl w:val="03BEE2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1E6367"/>
    <w:multiLevelType w:val="hybridMultilevel"/>
    <w:tmpl w:val="DE24CF2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436603"/>
    <w:multiLevelType w:val="multilevel"/>
    <w:tmpl w:val="A09AD310"/>
    <w:numStyleLink w:val="Headings"/>
  </w:abstractNum>
  <w:abstractNum w:abstractNumId="7">
    <w:nsid w:val="555C0274"/>
    <w:multiLevelType w:val="hybridMultilevel"/>
    <w:tmpl w:val="87ECF7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594894"/>
    <w:multiLevelType w:val="multilevel"/>
    <w:tmpl w:val="A09AD310"/>
    <w:styleLink w:val="Headings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26" w:firstLine="0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>
    <w:nsid w:val="5ADB40C6"/>
    <w:multiLevelType w:val="hybridMultilevel"/>
    <w:tmpl w:val="6E680F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C73573"/>
    <w:multiLevelType w:val="hybridMultilevel"/>
    <w:tmpl w:val="7A0C7C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046564"/>
    <w:multiLevelType w:val="hybridMultilevel"/>
    <w:tmpl w:val="11C4C9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9"/>
  </w:num>
  <w:num w:numId="5">
    <w:abstractNumId w:val="1"/>
  </w:num>
  <w:num w:numId="6">
    <w:abstractNumId w:val="11"/>
  </w:num>
  <w:num w:numId="7">
    <w:abstractNumId w:val="3"/>
  </w:num>
  <w:num w:numId="8">
    <w:abstractNumId w:val="2"/>
  </w:num>
  <w:num w:numId="9">
    <w:abstractNumId w:val="0"/>
  </w:num>
  <w:num w:numId="10">
    <w:abstractNumId w:val="7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F4D"/>
    <w:rsid w:val="000122FA"/>
    <w:rsid w:val="00036592"/>
    <w:rsid w:val="00044429"/>
    <w:rsid w:val="00056030"/>
    <w:rsid w:val="00060D89"/>
    <w:rsid w:val="00061E68"/>
    <w:rsid w:val="0021565A"/>
    <w:rsid w:val="00224712"/>
    <w:rsid w:val="00232F4B"/>
    <w:rsid w:val="00310593"/>
    <w:rsid w:val="003166E8"/>
    <w:rsid w:val="0039528E"/>
    <w:rsid w:val="00416AED"/>
    <w:rsid w:val="004352A2"/>
    <w:rsid w:val="004B06DD"/>
    <w:rsid w:val="004D6C6F"/>
    <w:rsid w:val="00562325"/>
    <w:rsid w:val="00627292"/>
    <w:rsid w:val="0063062D"/>
    <w:rsid w:val="00716F43"/>
    <w:rsid w:val="00722FAC"/>
    <w:rsid w:val="00745977"/>
    <w:rsid w:val="0078287A"/>
    <w:rsid w:val="0084626A"/>
    <w:rsid w:val="008E611B"/>
    <w:rsid w:val="00982E05"/>
    <w:rsid w:val="009F0F8C"/>
    <w:rsid w:val="00B063C3"/>
    <w:rsid w:val="00B32F4D"/>
    <w:rsid w:val="00B4444C"/>
    <w:rsid w:val="00BF5889"/>
    <w:rsid w:val="00C95F78"/>
    <w:rsid w:val="00D3789A"/>
    <w:rsid w:val="00D631BE"/>
    <w:rsid w:val="00DF3258"/>
    <w:rsid w:val="00ED4586"/>
    <w:rsid w:val="00F16665"/>
    <w:rsid w:val="00F52022"/>
    <w:rsid w:val="00F547D0"/>
    <w:rsid w:val="00F6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3789A"/>
    <w:pPr>
      <w:keepNext/>
      <w:numPr>
        <w:numId w:val="12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paragraph" w:styleId="Heading2">
    <w:name w:val="heading 2"/>
    <w:basedOn w:val="Heading1"/>
    <w:next w:val="Normal"/>
    <w:link w:val="Heading2Char"/>
    <w:autoRedefine/>
    <w:qFormat/>
    <w:rsid w:val="00D3789A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qFormat/>
    <w:rsid w:val="00D3789A"/>
    <w:pPr>
      <w:numPr>
        <w:ilvl w:val="2"/>
      </w:numPr>
      <w:outlineLvl w:val="2"/>
    </w:pPr>
    <w:rPr>
      <w:b w:val="0"/>
      <w:color w:val="000000"/>
    </w:rPr>
  </w:style>
  <w:style w:type="paragraph" w:styleId="Heading4">
    <w:name w:val="heading 4"/>
    <w:basedOn w:val="Heading3"/>
    <w:next w:val="Normal"/>
    <w:link w:val="Heading4Char"/>
    <w:qFormat/>
    <w:rsid w:val="00D3789A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3789A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qFormat/>
    <w:rsid w:val="00D3789A"/>
    <w:pPr>
      <w:numPr>
        <w:ilvl w:val="5"/>
      </w:numPr>
      <w:spacing w:after="6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qFormat/>
    <w:rsid w:val="00D3789A"/>
    <w:pPr>
      <w:numPr>
        <w:ilvl w:val="6"/>
      </w:numPr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qFormat/>
    <w:rsid w:val="00D3789A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Heading9">
    <w:name w:val="heading 9"/>
    <w:basedOn w:val="Heading8"/>
    <w:next w:val="Normal"/>
    <w:link w:val="Heading9Char"/>
    <w:qFormat/>
    <w:rsid w:val="00D3789A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0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62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28E"/>
  </w:style>
  <w:style w:type="paragraph" w:styleId="Footer">
    <w:name w:val="footer"/>
    <w:basedOn w:val="Normal"/>
    <w:link w:val="Foot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28E"/>
  </w:style>
  <w:style w:type="character" w:customStyle="1" w:styleId="Heading1Char">
    <w:name w:val="Heading 1 Char"/>
    <w:basedOn w:val="DefaultParagraphFont"/>
    <w:link w:val="Heading1"/>
    <w:rsid w:val="00D3789A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rsid w:val="00D3789A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DefaultParagraphFont"/>
    <w:link w:val="Heading3"/>
    <w:rsid w:val="00D3789A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rsid w:val="00D3789A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DefaultParagraphFont"/>
    <w:link w:val="Heading5"/>
    <w:rsid w:val="00D3789A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DefaultParagraphFont"/>
    <w:link w:val="Heading6"/>
    <w:rsid w:val="00D3789A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DefaultParagraphFont"/>
    <w:link w:val="Heading7"/>
    <w:rsid w:val="00D3789A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DefaultParagraphFont"/>
    <w:link w:val="Heading8"/>
    <w:rsid w:val="00D3789A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DefaultParagraphFont"/>
    <w:link w:val="Heading9"/>
    <w:rsid w:val="00D3789A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numbering" w:customStyle="1" w:styleId="Headings">
    <w:name w:val="Headings"/>
    <w:uiPriority w:val="99"/>
    <w:rsid w:val="00D3789A"/>
    <w:pPr>
      <w:numPr>
        <w:numId w:val="1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1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3789A"/>
    <w:pPr>
      <w:keepNext/>
      <w:numPr>
        <w:numId w:val="12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paragraph" w:styleId="Heading2">
    <w:name w:val="heading 2"/>
    <w:basedOn w:val="Heading1"/>
    <w:next w:val="Normal"/>
    <w:link w:val="Heading2Char"/>
    <w:autoRedefine/>
    <w:qFormat/>
    <w:rsid w:val="00D3789A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qFormat/>
    <w:rsid w:val="00D3789A"/>
    <w:pPr>
      <w:numPr>
        <w:ilvl w:val="2"/>
      </w:numPr>
      <w:outlineLvl w:val="2"/>
    </w:pPr>
    <w:rPr>
      <w:b w:val="0"/>
      <w:color w:val="000000"/>
    </w:rPr>
  </w:style>
  <w:style w:type="paragraph" w:styleId="Heading4">
    <w:name w:val="heading 4"/>
    <w:basedOn w:val="Heading3"/>
    <w:next w:val="Normal"/>
    <w:link w:val="Heading4Char"/>
    <w:qFormat/>
    <w:rsid w:val="00D3789A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3789A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qFormat/>
    <w:rsid w:val="00D3789A"/>
    <w:pPr>
      <w:numPr>
        <w:ilvl w:val="5"/>
      </w:numPr>
      <w:spacing w:after="6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qFormat/>
    <w:rsid w:val="00D3789A"/>
    <w:pPr>
      <w:numPr>
        <w:ilvl w:val="6"/>
      </w:numPr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qFormat/>
    <w:rsid w:val="00D3789A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Heading9">
    <w:name w:val="heading 9"/>
    <w:basedOn w:val="Heading8"/>
    <w:next w:val="Normal"/>
    <w:link w:val="Heading9Char"/>
    <w:qFormat/>
    <w:rsid w:val="00D3789A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0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62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28E"/>
  </w:style>
  <w:style w:type="paragraph" w:styleId="Footer">
    <w:name w:val="footer"/>
    <w:basedOn w:val="Normal"/>
    <w:link w:val="Foot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28E"/>
  </w:style>
  <w:style w:type="character" w:customStyle="1" w:styleId="Heading1Char">
    <w:name w:val="Heading 1 Char"/>
    <w:basedOn w:val="DefaultParagraphFont"/>
    <w:link w:val="Heading1"/>
    <w:rsid w:val="00D3789A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rsid w:val="00D3789A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DefaultParagraphFont"/>
    <w:link w:val="Heading3"/>
    <w:rsid w:val="00D3789A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rsid w:val="00D3789A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DefaultParagraphFont"/>
    <w:link w:val="Heading5"/>
    <w:rsid w:val="00D3789A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DefaultParagraphFont"/>
    <w:link w:val="Heading6"/>
    <w:rsid w:val="00D3789A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DefaultParagraphFont"/>
    <w:link w:val="Heading7"/>
    <w:rsid w:val="00D3789A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DefaultParagraphFont"/>
    <w:link w:val="Heading8"/>
    <w:rsid w:val="00D3789A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DefaultParagraphFont"/>
    <w:link w:val="Heading9"/>
    <w:rsid w:val="00D3789A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numbering" w:customStyle="1" w:styleId="Headings">
    <w:name w:val="Headings"/>
    <w:uiPriority w:val="99"/>
    <w:rsid w:val="00D3789A"/>
    <w:pPr>
      <w:numPr>
        <w:numId w:val="1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1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4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69FBF-E629-4D04-A83B-FAE36B0CB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Vladislav E. Tsvetanov</cp:lastModifiedBy>
  <cp:revision>3</cp:revision>
  <cp:lastPrinted>2016-05-18T05:59:00Z</cp:lastPrinted>
  <dcterms:created xsi:type="dcterms:W3CDTF">2016-07-19T12:53:00Z</dcterms:created>
  <dcterms:modified xsi:type="dcterms:W3CDTF">2016-07-20T11:30:00Z</dcterms:modified>
</cp:coreProperties>
</file>